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2">
      <w:pPr>
        <w:spacing w:after="240" w:before="240" w:lineRule="auto"/>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6">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7">
      <w:pPr>
        <w:spacing w:after="240" w:before="240" w:lineRule="auto"/>
        <w:jc w:val="center"/>
        <w:rPr>
          <w:rFonts w:ascii="Calibri" w:cs="Calibri" w:eastAsia="Calibri" w:hAnsi="Calibri"/>
          <w:b w:val="1"/>
          <w:smallCaps w:val="1"/>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A">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0">
      <w:pPr>
        <w:jc w:val="center"/>
        <w:rPr>
          <w:b w:val="1"/>
        </w:rPr>
      </w:pPr>
      <w:r w:rsidDel="00000000" w:rsidR="00000000" w:rsidRPr="00000000">
        <w:rPr>
          <w:b w:val="1"/>
          <w:rtl w:val="0"/>
        </w:rPr>
        <w:t xml:space="preserve">CALL-OFF SCHEDULE 10 </w:t>
      </w:r>
    </w:p>
    <w:p w:rsidR="00000000" w:rsidDel="00000000" w:rsidP="00000000" w:rsidRDefault="00000000" w:rsidRPr="00000000" w14:paraId="00000011">
      <w:pPr>
        <w:jc w:val="center"/>
        <w:rPr>
          <w:b w:val="1"/>
        </w:rPr>
      </w:pPr>
      <w:r w:rsidDel="00000000" w:rsidR="00000000" w:rsidRPr="00000000">
        <w:rPr>
          <w:b w:val="1"/>
          <w:rtl w:val="0"/>
        </w:rPr>
        <w:t xml:space="preserve">EXIT MANAGEMENT</w:t>
      </w:r>
    </w:p>
    <w:p w:rsidR="00000000" w:rsidDel="00000000" w:rsidP="00000000" w:rsidRDefault="00000000" w:rsidRPr="00000000" w14:paraId="000000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DURING THE CONTRACT PERIOD TO FACILITATE EXIT</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0j0zll"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30 days from the Start Date provide to the Buyer a copy of its depreciation policy to be used for the purposes of calculating Net Book Value.</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fob9te"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During the Contract Period, the Supplier shall promptly:</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znysh7"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et92p0"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configuration database detailing the technical infrastructure and operating procedures through which the Supplier provides the Deliverables </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Registers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Exclusive Assets listed in the Registers are clearly physically identified as such; and</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tyjcwt"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dy6vkm"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TO ASSIST ON RE-TENDERING OF Deliverables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t3h5sf"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Exit Information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d34og8"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2s8eyo1" w:id="8"/>
      <w:bookmarkEnd w:id="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EXIT PLAN</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7dp8vu"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three (3) Months after the Start Date, deliver to the Buyer an Exit Plan which complies with the requirements set out in Paragraph 3.3 of this Schedule and is otherwise reasonably satisfactory to the Buyer.</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rdcrjn"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3.1, then such Dispute shall be resolved in accordance with the Dispute Resolution Procedure. </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6in1rg"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Plan shall set out, as a minimum:</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detailed description of both the transfer and cessation processes, including a timetable;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Deliverables will transfer to the Replacement Supplier and/or the Buyer;</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training of key members of the Replacement Supplier’s staff in connection with the continuation of the provision of the Deliverables following the Expiry Date;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assignment or novation of all services utilised by the Supplier in connection with the supply of the Deliverables;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identification and return of all Buyer property in the possession of and/or control of the Supplier or any third party;</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disposal of any redundant Deliverables and materials;</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Supplier will ensure that there is no disruption to or degradation of the Deliverables during the Termination Assistance Period; and</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information or assistance reasonably required by the Buyer or a Replacement Supplier.</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lnxbz9" w:id="12"/>
      <w:bookmarkEnd w:id="1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and update the Exit Plan (and risk management plan) no less frequently than: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every [six (6) months] throughout the Contract Period; and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bookmarkStart w:colFirst="0" w:colLast="0" w:name="_heading=h.35nkun2"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later than [twenty (20) Working Days] after a request from the Buyer for an up-to-date copy of the Exit Plan;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 Termination Assistance Notice, and in any event no later than [ten (10) Working Days] after the date of the Termination Assistance Notice;</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and in any event no later than [twenty (20) Working Days] following, any material change to the Deliverables (including all changes under the Variation Procedure); and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jointly review and verify the Exit Plan if required by the Buyer and promptly correct any identified failures.</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if (by notification to the Supplier in writing) the Buyer agrees with a draft Exit Plan provided by the Supplier under Paragraph 3.2 or 3.4 (as the context requires), shall that draft become the Exit Plan for this Contract.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version of an Exit Plan agreed between the parties shall not be superseded by any draft submitted by the Supplier.</w:t>
      </w:r>
      <w:r w:rsidDel="00000000" w:rsidR="00000000" w:rsidRPr="00000000">
        <w:rPr>
          <w:rtl w:val="0"/>
        </w:rPr>
      </w:r>
    </w:p>
    <w:p w:rsidR="00000000" w:rsidDel="00000000" w:rsidP="00000000" w:rsidRDefault="00000000" w:rsidRPr="00000000" w14:paraId="0000003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ksv4uv"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"Termination Assistance Notice"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nature of the Termination Assistance required; and</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4sinio"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that Termination Assistance is required by the Buyer but at the relevant time the parties are still agreeing an update to the Exit Plan pursuant to Paragraph 3, the Supplier will provide the Termination Assistance in good faith and in accordance with the principles in this Schedule and the last Buyer approved version of the Exit Plan (insofar as it still applies).</w:t>
      </w:r>
      <w:r w:rsidDel="00000000" w:rsidR="00000000" w:rsidRPr="00000000">
        <w:rPr>
          <w:rtl w:val="0"/>
        </w:rPr>
      </w:r>
    </w:p>
    <w:p w:rsidR="00000000" w:rsidDel="00000000" w:rsidP="00000000" w:rsidRDefault="00000000" w:rsidRPr="00000000" w14:paraId="0000003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3F">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the Termination Assistance Period the Supplier shall:</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continue to provide the Deliverables (as applicable) and otherwise perform its obligations under this Contract and, if required by the Buyer, provide the Termination Assistance;</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jxsxqh"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z337ya"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all reasonable endeavours to reallocate resources to provide such assistance without additional costs to the Buyer;</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j2qqm3"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5.3, provide the Deliverables and the Termination Assistance at no detriment to the KPIs, the provision of the Management Information or any other reports nor to any other of the Supplier's obligations under this Contract; </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1y810tw"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Buyer's request and on reasonable notice, deliver up-to-date Registers to the Buyer;</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seek the Buyer's prior written consent to access any Buyer Premises from which the de-installation or removal of Supplier Assets is required.</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it is not possible for the Supplier to reallocate resources to provide such assistance as is referred to in Paragraph 5.1.2 without additional costs to the Buyer, any additional costs incurred by the Supplier in providing such reasonable assistance shall be subject to the Variation Procedure.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i7ojhp"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 accordingly.</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OBLIGATIONS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xcytpi"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of its obligations contained in the Exit Plan.</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ci93xb"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vacate any Buyer Premises;</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whwml4"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access during normal working hours to the Buyer and/or the Replacement Supplier for up to twelve (12) Months after expiry or termination to:</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qsh70q"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r w:rsidDel="00000000" w:rsidR="00000000" w:rsidRPr="00000000">
        <w:rPr>
          <w:rtl w:val="0"/>
        </w:rPr>
      </w:r>
    </w:p>
    <w:p w:rsidR="00000000" w:rsidDel="00000000" w:rsidP="00000000" w:rsidRDefault="00000000" w:rsidRPr="00000000" w14:paraId="0000005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3as4poj" w:id="26"/>
      <w:bookmarkEnd w:id="2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ASSETS, SUBCONTRACTS AND SOFTWARE</w:t>
      </w:r>
      <w:r w:rsidDel="00000000" w:rsidR="00000000" w:rsidRPr="00000000">
        <w:rPr>
          <w:rtl w:val="0"/>
        </w:rPr>
      </w:r>
    </w:p>
    <w:p w:rsidR="00000000" w:rsidDel="00000000" w:rsidP="00000000" w:rsidRDefault="00000000" w:rsidRPr="00000000" w14:paraId="0000005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pxezwc" w:id="27"/>
      <w:bookmarkEnd w:id="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notice of termination of this Contract and during the Termination Assistance Period, the Supplier shall not, without the Buyer's prior written consent:</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terminate, enter into or vary any Sub-contract or licence for any software in connection with the Deliverables; or</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normal maintenance requirements) make material modifications to, or dispose of, any existing Supplier Assets or acquire any new Supplier Assets.</w:t>
      </w:r>
      <w:r w:rsidDel="00000000" w:rsidR="00000000" w:rsidRPr="00000000">
        <w:rPr>
          <w:rtl w:val="0"/>
        </w:rPr>
      </w:r>
    </w:p>
    <w:p w:rsidR="00000000" w:rsidDel="00000000" w:rsidP="00000000" w:rsidRDefault="00000000" w:rsidRPr="00000000" w14:paraId="0000005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9x2ik5"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receipt of the up-to-date Registers provided by the Supplier, the Buyer shall notify the Supplier setting out: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p2csry"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Assets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bookmarkStart w:colFirst="0" w:colLast="0" w:name="bookmark=id.147n2zr" w:id="30"/>
    <w:bookmarkEnd w:id="30"/>
    <w:p w:rsidR="00000000" w:rsidDel="00000000" w:rsidP="00000000" w:rsidRDefault="00000000" w:rsidRPr="00000000" w14:paraId="0000005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o7alnk"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Exclusive Assets that are not Transferable Assets; and </w:t>
      </w:r>
    </w:p>
    <w:p w:rsidR="00000000" w:rsidDel="00000000" w:rsidP="00000000" w:rsidRDefault="00000000" w:rsidRPr="00000000" w14:paraId="0000005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Non-Exclusive Assets,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3ckvvd"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Contracts"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ihv636"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effect from the expiry of the Termination Assistance Period, the Supplier shall sell the Transferring Assets to the Buyer and/or the Replacement Supplier for the Net Book Value less any amount already paid for them through the Charges, subject to the total figure payable being no less than £0. For the avoidance of doubt, in no circumstances shall the Supplier be required to pay the Buyer and/or Replacement Supplier for transferring the Transferring Assets.</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r w:rsidDel="00000000" w:rsidR="00000000" w:rsidRPr="00000000">
        <w:rPr>
          <w:rtl w:val="0"/>
        </w:rPr>
      </w:r>
    </w:p>
    <w:p w:rsidR="00000000" w:rsidDel="00000000" w:rsidP="00000000" w:rsidRDefault="00000000" w:rsidRPr="00000000" w14:paraId="0000005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2hioqz"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suitable alternative to such assets, the Buyer or the Replacement Supplier to bear the reasonable proven costs of procuring the same.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hmsyys"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1mghml"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accept assignments from the Supplier or join with the Supplier in procuring a novation of each Transferring Contract; and</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grqrue" w:id="37"/>
      <w:bookmarkEnd w:id="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7.6 in relation to any matters arising prior to the date of assignment or novation of such Transferring Contract. Clause 19 Core Terms (Other people's rights in this contract) shall not apply to this Paragraph 7.9 which is intended to be enforceable by Third Parties Beneficiaries by virtue of the CRTPA.</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avoidance of doubt, the CF&amp;F and CF&amp;E shall be Transferrable Assets. However, the Parties agree that no payment shall be required to be made by the Buyer and/or the Replacement Supplier to the Supplier in respect of the CF&amp;F.</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Notwithstanding anything else in the Contract, the Net Book Value of the CF&amp;E shall, throughout the term of this Contract, be calculated by reference to depreciation costs in the Supplier’s Catering Profit &amp; Loss Accounts annually at one fifth (1/5</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of the value of the original purchase price of the relevant CF&amp;E. </w:t>
      </w:r>
    </w:p>
    <w:p w:rsidR="00000000" w:rsidDel="00000000" w:rsidP="00000000" w:rsidRDefault="00000000" w:rsidRPr="00000000" w14:paraId="0000006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vx1227" w:id="38"/>
      <w:bookmarkEnd w:id="3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CHARGES </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stated, the Buyer shall not be obliged to pay for costs incurred by the Supplier in relation to its compliance with, this Schedule.</w:t>
      </w:r>
      <w:r w:rsidDel="00000000" w:rsidR="00000000" w:rsidRPr="00000000">
        <w:rPr>
          <w:rtl w:val="0"/>
        </w:rPr>
      </w:r>
    </w:p>
    <w:p w:rsidR="00000000" w:rsidDel="00000000" w:rsidP="00000000" w:rsidRDefault="00000000" w:rsidRPr="00000000" w14:paraId="0000006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APPORTIONMENTS </w:t>
      </w:r>
      <w:r w:rsidDel="00000000" w:rsidR="00000000" w:rsidRPr="00000000">
        <w:rPr>
          <w:rtl w:val="0"/>
        </w:rPr>
      </w:r>
    </w:p>
    <w:p w:rsidR="00000000" w:rsidDel="00000000" w:rsidP="00000000" w:rsidRDefault="00000000" w:rsidRPr="00000000" w14:paraId="0000006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fwokq0" w:id="39"/>
      <w:bookmarkEnd w:id="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amounts shall be annualised and divided by 365 to reach a daily rate;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responsible for or entitled to (as the case may be) the rest of the invoice.</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7">
    <w:pPr>
      <w:tabs>
        <w:tab w:val="center" w:leader="none" w:pos="4513"/>
        <w:tab w:val="right" w:leader="none" w:pos="9026"/>
      </w:tabs>
      <w:spacing w:after="0" w:line="240" w:lineRule="auto"/>
      <w:jc w:val="both"/>
      <w:rPr/>
    </w:pPr>
    <w:r w:rsidDel="00000000" w:rsidR="00000000" w:rsidRPr="00000000">
      <w:rPr>
        <w:rtl w:val="0"/>
      </w:rPr>
      <w:t xml:space="preserve">Ref: RM3830</w:t>
    </w:r>
  </w:p>
  <w:p w:rsidR="00000000" w:rsidDel="00000000" w:rsidP="00000000" w:rsidRDefault="00000000" w:rsidRPr="00000000" w14:paraId="00000078">
    <w:pPr>
      <w:tabs>
        <w:tab w:val="center" w:leader="none" w:pos="4513"/>
        <w:tab w:val="right" w:leader="none" w:pos="9026"/>
      </w:tabs>
      <w:spacing w:after="0" w:line="240" w:lineRule="auto"/>
      <w:jc w:val="both"/>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spacing w:after="0" w:lineRule="auto"/>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0" distT="0" distL="0" distR="0" hidden="0" layoutInCell="1" locked="0" relativeHeight="0" simplePos="0">
          <wp:simplePos x="0" y="0"/>
          <wp:positionH relativeFrom="column">
            <wp:posOffset>5210175</wp:posOffset>
          </wp:positionH>
          <wp:positionV relativeFrom="paragraph">
            <wp:posOffset>-61062</wp:posOffset>
          </wp:positionV>
          <wp:extent cx="749300" cy="565150"/>
          <wp:effectExtent b="0" l="0" r="0" t="0"/>
          <wp:wrapNone/>
          <wp:docPr descr="https://lh5.googleusercontent.com/5rrI-oSrdQtTyuOWRTU-bVQGJMIEpEyTV3ex16Fjws9t8YD9afdInIMHnncciX0X08e4H3V4cQh-2ulD74i7837Vwf18pfRwbbbJ_ApE8LMEYzaOk4Ghm0XAjF7NJx13HVq_g71Z8gnVhms6DaFFGmhXq4NibotcLL_Pc2kDUGgftoJerOXPcZekNXfJGj0ESBdhJQ" id="3" name="image1.png"/>
          <a:graphic>
            <a:graphicData uri="http://schemas.openxmlformats.org/drawingml/2006/picture">
              <pic:pic>
                <pic:nvPicPr>
                  <pic:cNvPr descr="https://lh5.googleusercontent.com/5rrI-oSrdQtTyuOWRTU-bVQGJMIEpEyTV3ex16Fjws9t8YD9afdInIMHnncciX0X08e4H3V4cQh-2ulD74i7837Vwf18pfRwbbbJ_ApE8LMEYzaOk4Ghm0XAjF7NJx13HVq_g71Z8gnVhms6DaFFGmhXq4NibotcLL_Pc2kDUGgftoJerOXPcZekNXfJGj0ESBdhJQ" id="0" name="image1.png"/>
                  <pic:cNvPicPr preferRelativeResize="0"/>
                </pic:nvPicPr>
                <pic:blipFill>
                  <a:blip r:embed="rId1"/>
                  <a:srcRect b="0" l="0" r="0" t="0"/>
                  <a:stretch>
                    <a:fillRect/>
                  </a:stretch>
                </pic:blipFill>
                <pic:spPr>
                  <a:xfrm>
                    <a:off x="0" y="0"/>
                    <a:ext cx="749300" cy="565150"/>
                  </a:xfrm>
                  <a:prstGeom prst="rect"/>
                  <a:ln/>
                </pic:spPr>
              </pic:pic>
            </a:graphicData>
          </a:graphic>
        </wp:anchor>
      </w:drawing>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10 (Exit Management)                                                                                   </w:t>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MarginText" w:customStyle="1">
    <w:name w:val="Margin Text"/>
    <w:basedOn w:val="Normal"/>
    <w:link w:val="MarginTextChar"/>
    <w:rsid w:val="00D63739"/>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sid w:val="00D63739"/>
    <w:rPr>
      <w:rFonts w:ascii="Calibri" w:cs="Times New Roman" w:eastAsia="STZhongsong" w:hAnsi="Calibri"/>
      <w:szCs w:val="18"/>
      <w:lang w:eastAsia="zh-CN"/>
    </w:rPr>
  </w:style>
  <w:style w:type="paragraph" w:styleId="TOC1">
    <w:name w:val="toc 1"/>
    <w:basedOn w:val="Normal"/>
    <w:next w:val="Normal"/>
    <w:autoRedefine w:val="1"/>
    <w:uiPriority w:val="39"/>
    <w:semiHidden w:val="1"/>
    <w:unhideWhenUsed w:val="1"/>
    <w:rsid w:val="0014367B"/>
    <w:pPr>
      <w:spacing w:after="100"/>
    </w:pPr>
  </w:style>
  <w:style w:type="paragraph" w:styleId="TOC4">
    <w:name w:val="toc 4"/>
    <w:basedOn w:val="Normal"/>
    <w:next w:val="Normal"/>
    <w:autoRedefine w:val="1"/>
    <w:uiPriority w:val="39"/>
    <w:semiHidden w:val="1"/>
    <w:unhideWhenUsed w:val="1"/>
    <w:rsid w:val="0014367B"/>
    <w:pPr>
      <w:spacing w:after="100"/>
      <w:ind w:left="66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joBXFG+2nagOVEVx6KbG7IAViQ==">CgMxLjA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KaWQuMTQ3bjJ6cjIJaC4zbzdhbG5rMgloLjIzY2t2dmQyCGguaWh2NjM2MgloLjMyaGlvcXoyCWguMWhtc3l5czIJaC40MW1naG1sMgloLjJncnFydWUyCGgudngxMjI3MgloLjNmd29rcTA4AHIhMXBPYmE2bnE1djVMTXhiMG1OWEVTdlVFYTRWNFVsQl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2022-09-21T19:32:00Z</dcterms:created>
  <dc:creator>Robert Bodell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